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08" w:rsidRDefault="000D7A56" w:rsidP="000D7A5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Spring Valley Lake </w:t>
      </w:r>
    </w:p>
    <w:p w:rsidR="000D7A56" w:rsidRDefault="000D7A56" w:rsidP="000D7A5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2016 3</w:t>
      </w:r>
      <w:r w:rsidRPr="000D7A56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0D7A56" w:rsidRDefault="000D7A56" w:rsidP="000D7A5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8EDAB46" wp14:editId="5A95F3B9">
            <wp:extent cx="9001125" cy="5581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D7A56" w:rsidRPr="000D7A56" w:rsidRDefault="000D7A56" w:rsidP="000D7A56">
      <w:pPr>
        <w:jc w:val="center"/>
        <w:rPr>
          <w:rFonts w:ascii="Californian FB" w:hAnsi="Californian FB"/>
          <w:sz w:val="40"/>
          <w:szCs w:val="40"/>
        </w:rPr>
      </w:pPr>
    </w:p>
    <w:sectPr w:rsidR="000D7A56" w:rsidRPr="000D7A56" w:rsidSect="000D7A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56"/>
    <w:rsid w:val="00026365"/>
    <w:rsid w:val="00035908"/>
    <w:rsid w:val="000D7A56"/>
    <w:rsid w:val="009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6177-488F-4086-AC5E-016C2F80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2">
                  <c:v>2</c:v>
                </c:pt>
                <c:pt idx="3">
                  <c:v>5</c:v>
                </c:pt>
                <c:pt idx="4">
                  <c:v>16</c:v>
                </c:pt>
                <c:pt idx="5">
                  <c:v>11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569864"/>
        <c:axId val="413569080"/>
        <c:axId val="0"/>
      </c:bar3DChart>
      <c:catAx>
        <c:axId val="413569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569080"/>
        <c:crosses val="autoZero"/>
        <c:auto val="1"/>
        <c:lblAlgn val="ctr"/>
        <c:lblOffset val="100"/>
        <c:noMultiLvlLbl val="0"/>
      </c:catAx>
      <c:valAx>
        <c:axId val="413569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3569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0.16402</cdr:x>
      <cdr:y>0.14334</cdr:y>
    </cdr:from>
    <cdr:to>
      <cdr:x>0.51005</cdr:x>
      <cdr:y>0.18942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00100"/>
          <a:ext cx="3114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3,206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0.2099</cdr:y>
    </cdr:from>
    <cdr:to>
      <cdr:x>0.49101</cdr:x>
      <cdr:y>0.25427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171575"/>
          <a:ext cx="2933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2,509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0.27645</cdr:y>
    </cdr:from>
    <cdr:to>
      <cdr:x>0.51746</cdr:x>
      <cdr:y>0.31911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43050"/>
          <a:ext cx="3171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2,397</a:t>
          </a:r>
          <a:r>
            <a:rPr lang="en-US" sz="1000" i="1" baseline="0"/>
            <a:t> 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0.3413</cdr:y>
    </cdr:from>
    <cdr:to>
      <cdr:x>0.53757</cdr:x>
      <cdr:y>0.38567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05000"/>
          <a:ext cx="3362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2,459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0.40785</cdr:y>
    </cdr:from>
    <cdr:to>
      <cdr:x>0.5291</cdr:x>
      <cdr:y>0.45222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76475"/>
          <a:ext cx="3286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1,719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0.4744</cdr:y>
    </cdr:from>
    <cdr:to>
      <cdr:x>0.5545</cdr:x>
      <cdr:y>0.51536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647950"/>
          <a:ext cx="3505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2,169 </a:t>
          </a:r>
          <a:r>
            <a:rPr lang="en-US" sz="1000" i="1"/>
            <a:t>-</a:t>
          </a:r>
          <a:r>
            <a:rPr lang="en-US" sz="1000" i="1" baseline="0"/>
            <a:t>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0.53925</cdr:y>
    </cdr:from>
    <cdr:to>
      <cdr:x>0.57672</cdr:x>
      <cdr:y>0.58874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009900"/>
          <a:ext cx="37147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2,095 </a:t>
          </a:r>
          <a:r>
            <a:rPr lang="en-US" sz="1000" i="1" baseline="0"/>
            <a:t>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0.60751</cdr:y>
    </cdr:from>
    <cdr:to>
      <cdr:x>0.58307</cdr:x>
      <cdr:y>0.65188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90900"/>
          <a:ext cx="3771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1,800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0.67065</cdr:y>
    </cdr:from>
    <cdr:to>
      <cdr:x>0.53545</cdr:x>
      <cdr:y>0.71672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743325"/>
          <a:ext cx="3333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1,764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0.73891</cdr:y>
    </cdr:from>
    <cdr:to>
      <cdr:x>0.53968</cdr:x>
      <cdr:y>0.77986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124325"/>
          <a:ext cx="33718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1,466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0.16402</cdr:x>
      <cdr:y>0.80375</cdr:y>
    </cdr:from>
    <cdr:to>
      <cdr:x>0.49101</cdr:x>
      <cdr:y>0.84983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86275"/>
          <a:ext cx="2943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1,404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2016-10-27T17:51:00Z</dcterms:created>
  <dcterms:modified xsi:type="dcterms:W3CDTF">2016-10-27T18:13:00Z</dcterms:modified>
</cp:coreProperties>
</file>